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193</w:t>
      </w:r>
    </w:p>
    <w:p>
      <w:r>
        <w:t>Bundesgericht (BGE), 1996-04-17, DE</w:t>
      </w:r>
    </w:p>
    <w:p>
      <w:r>
        <w:rPr>
          <w:b/>
        </w:rPr>
        <w:t xml:space="preserve">Quelle: </w:t>
      </w:r>
      <w:r>
        <w:t>https://mcp.opencaselaw.ch/entscheid/bge_123 III 193</w:t>
      </w:r>
    </w:p>
    <w:p>
      <w:r>
        <w:t>FR: ATF 123 III 193</w:t>
      </w:r>
    </w:p>
    <w:p>
      <w:r>
        <w:t>IT: DTF 123 III 193</w:t>
      </w:r>
    </w:p>
    <w:p>
      <w:pPr>
        <w:pStyle w:val="Heading2"/>
      </w:pPr>
      <w:r>
        <w:t>Regeste</w:t>
      </w:r>
    </w:p>
    <w:p>
      <w:r>
        <w:t>Regeste Ausschlussautonomie des Vereins im Verhältnis zum Persönlichkeitsrecht des einzelnen Mitglieds auf wirtschaftliche Entfaltung (Art. 72 Abs. 2 ZGB und Art. 28 ZGB). Tritt ein Verein in der Öffentlichkeit wie auch gegenüber Behörden, potentiellen Kunden seiner Mitglieder usw. als massgebende Organisation des betreffenden Berufsstandes oder Wirtschaftszweigs auf, so verfügt er nicht über die umfassende Ausschlussautonomie des Art. 72 Abs. 2 ZGB. Ein Mitglied eines solchen Vereins kann angesichts seines Persönlichkeitsrechts auf wirtschaftliche Entfaltung nur aus wichtigen Gründen ausgeschlossen werden (E. 2).</w:t>
      </w:r>
    </w:p>
    <w:p>
      <w:pPr>
        <w:pStyle w:val="Heading2"/>
      </w:pPr>
      <w:r>
        <w:t>Erwägungen</w:t>
      </w:r>
    </w:p>
    <w:p>
      <w:r>
        <w:rPr>
          <w:b/>
        </w:rPr>
        <w:t>E. 2</w:t>
      </w:r>
    </w:p>
    <w:p>
      <w:r>
        <w:t>a) Die Vorinstanz hat die Ausschliessung der Klägerin aus dem Beklagten aufgehoben und zur Begründung im wesentlichen ausgeführt, bei einer Berufs- oder Standesorganisation verletze die Ausschliessung eines Mitgliedes dessen Persönlichkeitsrecht auf wirtschaftliche Entfaltung und berufliches Ansehen in gravierender Weise; ein Ausschluss könne daher nur dann als zulässig gelten, wenn im Einzelfall das Interesse des Vereins an der Ausschliessung höher zu werten sei als dasjenige des Mitgliedes an der Beibehaltung BGE 123 III 193 S. 195 der Mitgliedschaft; er dürfe mit anderen Worten nur aus wichtigen Gründen erfolgen. Die Vorinstanz hat solche Gründe verneint und dazu festgehalten, die Klägerin habe ihre Uhren "Genre Rolex" während Jahrzehnten produziert, ohne dass Rolex oder der Beklagte, die beide davon hätten wissen müssen, bis 1990 je eingeschritten seien. Abgesehen davon habe sich die Klägerin in ihrer Tätigkeit in Gesellschaft mehrerer Mitglieder des Beklagten befunden und sich qualitativ von diesen nicht unterschieden. Wie alle anderen Hersteller und Brancheninsider habe sie davon ausgehen dürfen, dass Rolex Oyster im Fernen Osten als modèle public gelte, und sich dabei auf ein Urteil i.S. Rolex c. Sicura stützen können. Die zwiespältige Haltung von Rolex ihren Nachahmern gegenüber sei auch nicht dazu angetan gewesen, die Klägerin an ihrem Vorgehen zu hindern. Da auch nicht bewiesen sei, dass sie sich mit ihrer Produktion mengenmässig von derjenigen anderer Mitglieder des Beklagten abgehoben habe, könne ihr für die Zeit vor 1990 keine schwerwiegende Verletzung der Statuten oder der Verbandsinteressen vorgeworfen werden. Nach 1990 habe sich die Klägerin in durchaus vernünftigem und angemessenem Rahmen kompromissbereit gezeigt, was vom Beklagten ja auch unterstützt worden sei. Dass sie sich nicht bereit erklärt habe, ein rechtliches Schuldbekenntnis abzulegen, könne ihr angesichts der schweizerischen Rechtsprechung in vergleichbaren Fällen nicht zum Vorwurf gemacht werden. Zwei Instanzen hätten in dem von Rolex gegen die Klägerin angestrengten Verfahren zu deren Gunsten entschieden. Auch die in der Schlussphase von der Klägerin an Rolex gestellte Forderung, ebenfalls gegen die anderen Nachahmer vorzugehen, sei angesichts der wirtschaftlichen Konsequenzen eines Rückzuges der Klägerin aus dem Markt des "Genre Rolex" im Fernen Osten durchaus gerechtfertigt. Nachdem der Beklagte lange Zeit die Position eines Schiedsrichters eingenommen habe, sei er von dieser Position abrupt abgewichen und habe sich im Frühling 1994 ohne jeden ersichtlichen Grund gegen die Klägerin gestellt. Er habe ihr die Schuld am Fehlen einer gütlichen Lösung zugewiesen, obwohl von ihm nie ein eigener Kompromissvorschlag unterbreitet worden sei, an dem sie das Verhandlungsverhalten und die Kompromissbereitschaft der Parteien hätte messen können. Nachahmungen von Rolex durch andere seiner Mitglieder seien vom Beklagten, ohne sich auf Untersuchungen stützen zu können, bagatellisiert und nicht als Entschuldigung für das Verhalten der Klägerin akzeptiert worden. Abgesehen davon habe der Beklagte sich bei seinem Ausschliessungsentscheid weder mit der in der Stellungnahme BGE 123 III 193 S. 196 der Klägerin vom 18. Oktober 1994 geltend gemachten langjährigen Produktion ihrer Linie Cosmo noch mit dem in der Stellungnahme ebenfalls erwähnten Urteil vom 31. März 1994 des Amtsgerichtes Solothurn-Lebern auseinandergesetzt. Mithin könne der Klägerin auch für die Zeit nach 1990 nicht vorgeworfen werden, sie habe durch ihr Verhalten in den Verhandlungen mit Rolex die Statuten oder die Interessen des Beklagten in schwerwiegender Weise verletzt. Gesamthaft gesehen sei damit das Interesse der Klägerin daran, nicht ausgeschlossen zu werden, als grösser zu gewichten als dasjenige des Beklagten an der Ausschliessung. Überdies verletze der gegenüber der Klägerin verfügte Ausschluss das Gebot der Gleichbehandlung der Vereinsmitglieder, da der Beklagte um die Nachahmung von Rolex-Uhren durch andere Mitglieder gewusst habe, den entsprechenden Vorwürfen aber nicht nachgegangen sei. b) Der Beklagte erblickt einen Verstoss gegen Art. 72 ZGB , weil die Vorinstanz trotz Art. 72 Abs. 2 ZGB den Ausschliessungsentscheid nicht allein unter dem Gesichtswinkel des Rechtsmissbrauchs geprüft habe, der im konkreten Fall zu verneinen sei; abgesehen davon, dass er keinen Verein mit wirtschaftlicher Zwecksetzung darstelle, sei auch die Auffassung der Vorinstanz unzutreffend, bei atypischen Vereinen, insbesondere solchen mit wirtschaftlicher Zwecksetzung, könnten die Mitglieder nur aus wichtigen Gründen ausgeschlossen werden. Solche würden im übrigen zu Unrecht verneint, und es treffe auch nicht zu, dass er mit seinem Vorgehen gegen den Grundsatz der Gleichbehandlung verstossen habe. c) aa) Gemäss Art. 72 Abs. 1 ZGB können die Vereinsstatuten Gründe bestimmen, aus denen ein Mitglied ausgeschlossen werden darf, oder aber die Ausschliessung ohne Angabe von Gründen gestatten. Gemäss Art. 72 Abs. 2 ZGB ist in diesen Fällen eine Anfechtung der Ausschliessung wegen ihres Grundes nicht statthaft, wobei dies allerdings nach ständiger Rechtsprechung des Bundesgerichts lediglich unter dem Vorbehalt des Rechtsmissbrauchsverbots i.S.v. Art. 2 Abs. 2 ZGB gilt ( BGE 51 II 237 E. 2 S. 242; BGE 85 II 525 E. 8 S. 541; BGE 90 II 346 E. 1 S. 347); ausserdem schliesst Art. 72 Abs. 2 ZGB eine Anfechtung der Ausschliessung wegen vereinsinterner Verfahrensmängel nicht aus ( BGE 51 II 237 E. 2 S. 242; vgl. auch BGE 114 II 193 ff.). Soweit im Zusammenhang mit Art. 72 ZGB eine Anfechtungsklage erhoben wird, richtet sich diese grundsätzlich - insbesondere auch hinsichtlich der Frist - nach Art. 75 ZGB . BGE 123 III 193 S. 197 Gemäss Art. 8 der Statuten des Beklagten kann dessen Generalversammlung ein Mitglied ausschliessen, wenn dieses eine Politik verfolgt oder Tätigkeiten ausübt, die mit den allgemeinen Zielen des Verbandes unvereinbar sind, oder wenn es seinen Verpflichtungen gegenüber dem Verband nicht nachkommt. Gestützt darauf erfolgte am 24. November 1994 die Ausschliessung der Klägerin. Vorliegend ist unbestritten, dass diese Ausschliessung unter den ersten Teil von Art. 72 Abs. 1 ZGB fällt und daher aufgrund von Art. 72 Abs. 2 ZGB nicht anfechtbar ist; einig sind sich die Parteien und die Vorinstanz ferner darin, dass kein Fall von Rechtsmissbrauch vorliegt, Verfahrensmängel nicht zur Diskussion stehen und die formellen Anfechtungsvoraussetzungen gemäss Art. 75 ZGB erfüllt sind. bb) In der neueren Lehre wird indessen überwiegend die Ansicht vertreten, bei Berufs- und Standesorganisationen bzw. Wirtschaftsverbänden würden der Ausschliessungsbefugnis des Vereins auch durch den Schutz der Persönlichkeit des Mitgliedes ( Art. 28 ZGB ) Grenzen gesetzt: Angesichts der wirtschaftlichen bzw. beruflichen Bedeutung einer derartigen Vereinsmitgliedschaft für das einzelne Mitglied, insbesondere auch im Hinblick auf seinen geschäftlichen Ruf, könne die Ausschlussautonomie des Vereins nicht so (weitgehend) schrankenlos sein wie bei einem "gewöhnlichen" Verein; vielmehr sei in solchen Fällen eine Abwägung zwischen den Interessen an der Ausschliessung des Mitgliedes und dessen Interessen an der Mitgliedschaft vorzunehmen; ein Ausschluss könne nur bei überwiegenden Interessen des Vereins - und damit im Ergebnis nur aus wichtigen Gründen - erfolgen (vgl. RIEMER, BERNER KOMMENTAR, N. 44 ff. zu Art. 72 ZGB ; HEINI, Das Schweizerische Vereinsrecht, Basel 1988, S. 65; derselbe, Kommentar zum Schweizerischen Privatrecht, Schweizerisches Zivilgesetzbuch I, Basel 1996, N. 11/12 zu Art. 72 ZGB ; ANDREAS KELLER, Die Ausschliessung aus dem Verein, Diss. Freiburg i.Ue. 1979, S. 120/121; THOMAS BÜTLER, Der Persönlichkeitsschutz des Vereinsmitglieds, Diss. Basel 1986, S. 72 ff.; HANS BODMER, Vereinsstrafe und Verbandsgerichtsbarkeit, Diss. St. Gallen 1989, S. 191 ff.; in Erwägung gezogen auch von MEIER-HAYOZ/FORSTMOSER, Grundriss des Schweizerischen Gesellschaftsrechts, 7. Aufl., Bern 1993, § 16 N. 43, und VON TUOR/ SCHNYDER/SCHMID, Das Schweizerische Zivilgesetzbuch, 11. Aufl., Zürich 1995, S. 142 Anm. 31). Die gegenteilige Meinung wird von Beat Badertscher (Der Ausschluss aus dem Verein nach Schweizerischem Zivilgesetzbuch, Diss. Zürich 1980, S. 216/217, 218/ BGE 123 III 193 S. 198 219) vertreten. Die vorherrschende Auffassung entspricht dem Standpunkt, welcher in der neueren kantonalen Rechtsprechung und in der Literatur betreffend Sportvereine eingenommen wird, sobald bei diesen erhebliche wirtschaftliche Interessen des Mitgliedes eine Rolle spielen (vgl. ZBJV 124/1988, S. 311 ff.; SJZ 84/1988, Nr. 13 S. 85 ff. und auch schon SJZ 75/1979, Nr. 13 S. 78; KUMMER, Spielregel und Rechtsregel, Bern 1973, S. 55 ff.; MARGARETA BADDELEY, L'association sportive face au droit, Basel 1994, S. 97 f.). Das Bundesgericht hat sich zu dieser Frage nicht abschliessend geäussert. In einem nicht publizierten Entscheid vom 22. November 1996 i.S. C./GST hat es die Anwendbarkeit von Art. 28 ZGB gegenüber Art. 72 ZGB eher bejaht (E. 4b), in einem weiteren, ebenfalls nicht publizierten Urteil vom 28. Februar 1997 i.S. B./SVMD hingegen eher verneint (E. 3), wobei es allerdings in diesem Fall die Voraussetzungen für eine Prüfung nach Art. 28 ZGB als nicht gegeben erachtet hat. cc) Der herrschenden Lehrmeinung, welche auch dem vorinstanzlichen Urteil zugrunde liegt und in der Sache überzeugt, ist zu folgen. Tritt ein Verein in der Öffentlichkeit wie auch gegenüber Behörden, potentiellen Kunden seiner Mitglieder usw. als massgebende Organisation des betreffenden Berufsstandes oder Wirtschaftszweigs auf, so kann er für sich nicht dieselbe umfassende Ausschlussautonomie gemäss Art. 72 Abs. 2 ZGB beanspruchen, wie sie etwa einem Geselligkeitsverein oder dergleichen zugestanden wird; vielmehr verlangt hier das Persönlichkeitsrecht der Mitglieder auf wirtschaftliche Entfaltung ( Art. 28 ZGB ) nach einer Beschränkung des Rechts auf Ausschliessung; andernfalls lägen der geschäftliche bzw. berufliche Ruf der betreffenden Mitglieder (und ihrer Unternehmen) und weitere für sie wichtige wirtschaftliche Rahmenbedingungen, wie Marktzutritt mittels Ausstellungen, Marktinformationen usw., zu einem beträchtlichen Teil in der Macht des Vereins. Beim Beklagten handelt es sich offensichtlich um einen Verein im vorgenannten Sinn; dabei erweist sich allerdings die Umschreibung mit "wirtschaftlicher Zweck" als ungenau, da es sich in Wirklichkeit um einen wirtschaftspolitischen Zweck handelt. Das ergibt sich ohne weiteres aus Art. 2 der Statuten, wonach der Verband die repräsentative Organisation der gesamten schweizerischen Uhrenindustrie darstellt, und wird vom Beklagten auch eingeräumt. Die Vorinstanz hat mithin zu Recht die Ausschliessung nicht unter dem Gesichtspunkt des Rechtsmissbrauchs überprüft, sondern BGE 123 III 193 S. 199 aufgrund von Art. 28 ZGB eine Interessenabwägung vorgenommen und abgeklärt, ob ein wichtiger Grund vorliegt. Sie hat dies aufgrund der vorstehend (E. 2a) wiedergegebenen, für das Bundesgericht verbindlichen tatsächlichen Feststellungen (vgl. Art. 55 Abs. 1 lit. c und Art. 63 Abs. 2 OG ) verneint und damit das ihr in dieser Frage zustehende Ermessen ( Art. 4 ZGB ) weder überschritten noch missbraucht ( BGE 119 II 197 E. 2 a.E. mit Hinweis; zum Umfang der Prüfung bei Ermessensentscheiden: BGE 118 II 50 E. 4 S. 55). dd) Ist aber der angefochtene Entscheid in dieser Hinsicht nicht zu beanstanden, so kann offenbleiben, ob der Beklagte mit seinem Entscheid auch gegen das Gebot der Gleichbehandlung der Mitglieder verstossen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